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Default="00DD564C">
      <w:pPr>
        <w:jc w:val="right"/>
        <w:rPr>
          <w:rFonts w:cs="DejaVu Serif Condensed" w:hint="eastAsia"/>
        </w:rPr>
      </w:pPr>
    </w:p>
    <w:p w:rsidR="00070FE8" w:rsidRPr="00213AE2" w:rsidRDefault="00070FE8" w:rsidP="00070FE8">
      <w:pPr>
        <w:jc w:val="right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Parzęczew, dnia </w:t>
      </w:r>
      <w:r w:rsidR="002B5BF9">
        <w:rPr>
          <w:rFonts w:asciiTheme="minorHAnsi" w:hAnsiTheme="minorHAnsi" w:cstheme="minorHAnsi"/>
          <w:sz w:val="22"/>
          <w:szCs w:val="22"/>
        </w:rPr>
        <w:t>12</w:t>
      </w:r>
      <w:r w:rsidRPr="00213AE2">
        <w:rPr>
          <w:rFonts w:asciiTheme="minorHAnsi" w:hAnsiTheme="minorHAnsi" w:cstheme="minorHAnsi"/>
          <w:sz w:val="22"/>
          <w:szCs w:val="22"/>
        </w:rPr>
        <w:t xml:space="preserve"> </w:t>
      </w:r>
      <w:r w:rsidR="002B5BF9">
        <w:rPr>
          <w:rFonts w:asciiTheme="minorHAnsi" w:hAnsiTheme="minorHAnsi" w:cstheme="minorHAnsi"/>
          <w:sz w:val="22"/>
          <w:szCs w:val="22"/>
        </w:rPr>
        <w:t>marca</w:t>
      </w:r>
      <w:r w:rsidRPr="00213AE2">
        <w:rPr>
          <w:rFonts w:asciiTheme="minorHAnsi" w:hAnsiTheme="minorHAnsi" w:cstheme="minorHAnsi"/>
          <w:sz w:val="22"/>
          <w:szCs w:val="22"/>
        </w:rPr>
        <w:t xml:space="preserve"> 2018 r.</w:t>
      </w: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A55A80" w:rsidRDefault="00A55A80" w:rsidP="00A55A80">
      <w:pPr>
        <w:jc w:val="center"/>
        <w:rPr>
          <w:rFonts w:asciiTheme="minorHAnsi" w:hAnsiTheme="minorHAnsi" w:cstheme="minorHAnsi"/>
          <w:b/>
        </w:rPr>
      </w:pPr>
      <w:bookmarkStart w:id="0" w:name="_Hlk505340615"/>
      <w:r>
        <w:rPr>
          <w:rFonts w:asciiTheme="minorHAnsi" w:hAnsiTheme="minorHAnsi" w:cstheme="minorHAnsi"/>
          <w:b/>
        </w:rPr>
        <w:t xml:space="preserve">PYTANIA I WYJAŚNIENIA </w:t>
      </w:r>
    </w:p>
    <w:p w:rsidR="00763BC0" w:rsidRDefault="00A55A80" w:rsidP="00A55A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SPECYFIKACJI WARUNKÓW ZAMÓWIENIA</w:t>
      </w:r>
    </w:p>
    <w:p w:rsidR="00A55A80" w:rsidRPr="00A55A80" w:rsidRDefault="00A55A80" w:rsidP="00A55A80">
      <w:pPr>
        <w:ind w:firstLine="709"/>
        <w:jc w:val="center"/>
        <w:rPr>
          <w:rFonts w:asciiTheme="minorHAnsi" w:hAnsiTheme="minorHAnsi" w:cstheme="minorHAnsi"/>
        </w:rPr>
      </w:pPr>
      <w:r w:rsidRPr="00A55A80">
        <w:rPr>
          <w:rFonts w:asciiTheme="minorHAnsi" w:hAnsiTheme="minorHAnsi" w:cstheme="minorHAnsi"/>
        </w:rPr>
        <w:t>w przetargu nieograniczonym pn.</w:t>
      </w:r>
    </w:p>
    <w:p w:rsidR="002B5BF9" w:rsidRDefault="00763BC0" w:rsidP="002B5BF9">
      <w:pPr>
        <w:pStyle w:val="Default"/>
        <w:jc w:val="center"/>
        <w:rPr>
          <w:rFonts w:asciiTheme="minorHAnsi" w:hAnsiTheme="minorHAnsi" w:cstheme="minorHAnsi"/>
          <w:b/>
        </w:rPr>
      </w:pPr>
      <w:r w:rsidRPr="00804C22">
        <w:rPr>
          <w:rFonts w:asciiTheme="minorHAnsi" w:hAnsiTheme="minorHAnsi" w:cstheme="minorHAnsi"/>
        </w:rPr>
        <w:t xml:space="preserve"> </w:t>
      </w:r>
      <w:r w:rsidR="002B5BF9" w:rsidRPr="00804C22">
        <w:rPr>
          <w:rFonts w:asciiTheme="minorHAnsi" w:hAnsiTheme="minorHAnsi" w:cstheme="minorHAnsi"/>
          <w:b/>
        </w:rPr>
        <w:t xml:space="preserve">Modernizacja i rozbudowa oświetlenia publicznego na </w:t>
      </w:r>
      <w:r w:rsidR="00A55A80">
        <w:rPr>
          <w:rFonts w:asciiTheme="minorHAnsi" w:hAnsiTheme="minorHAnsi" w:cstheme="minorHAnsi"/>
          <w:b/>
        </w:rPr>
        <w:t>terenie gminy Parzęczew</w:t>
      </w:r>
    </w:p>
    <w:p w:rsidR="00A55A80" w:rsidRDefault="00A55A80" w:rsidP="002B5BF9">
      <w:pPr>
        <w:pStyle w:val="Default"/>
        <w:jc w:val="center"/>
        <w:rPr>
          <w:rFonts w:asciiTheme="minorHAnsi" w:hAnsiTheme="minorHAnsi" w:cstheme="minorHAnsi"/>
        </w:rPr>
      </w:pPr>
    </w:p>
    <w:p w:rsidR="00A55A80" w:rsidRPr="00A55A80" w:rsidRDefault="00A55A80" w:rsidP="002B5BF9">
      <w:pPr>
        <w:pStyle w:val="Default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A55A80">
        <w:rPr>
          <w:rFonts w:asciiTheme="minorHAnsi" w:hAnsiTheme="minorHAnsi" w:cstheme="minorHAnsi"/>
        </w:rPr>
        <w:t>Numer ogłoszenia:524920-N-2018, data zamieszczenia: 28.02.2018 r.</w:t>
      </w:r>
    </w:p>
    <w:p w:rsidR="00763BC0" w:rsidRPr="00804C22" w:rsidRDefault="00763BC0" w:rsidP="002B5BF9">
      <w:pPr>
        <w:ind w:firstLine="709"/>
        <w:rPr>
          <w:rFonts w:asciiTheme="minorHAnsi" w:hAnsiTheme="minorHAnsi" w:cstheme="minorHAnsi"/>
        </w:rPr>
      </w:pPr>
    </w:p>
    <w:p w:rsidR="00763BC0" w:rsidRPr="00804C22" w:rsidRDefault="00763BC0" w:rsidP="00763BC0">
      <w:pPr>
        <w:jc w:val="both"/>
        <w:rPr>
          <w:rFonts w:asciiTheme="minorHAnsi" w:hAnsiTheme="minorHAnsi" w:cstheme="minorHAnsi"/>
        </w:rPr>
      </w:pPr>
      <w:r w:rsidRPr="00804C22">
        <w:rPr>
          <w:rFonts w:asciiTheme="minorHAnsi" w:hAnsiTheme="minorHAnsi" w:cstheme="minorHAnsi"/>
        </w:rPr>
        <w:tab/>
        <w:t>Na podst. art. 38, ust. 2 ustawy z dnia 29 stycznia 2004r. - Prawo zamówień publicznych (t. j. Dz. U.</w:t>
      </w:r>
      <w:r w:rsidR="0056099B">
        <w:rPr>
          <w:rFonts w:asciiTheme="minorHAnsi" w:hAnsiTheme="minorHAnsi" w:cstheme="minorHAnsi"/>
        </w:rPr>
        <w:t xml:space="preserve"> </w:t>
      </w:r>
      <w:r w:rsidRPr="00804C22">
        <w:rPr>
          <w:rFonts w:asciiTheme="minorHAnsi" w:hAnsiTheme="minorHAnsi" w:cstheme="minorHAnsi"/>
        </w:rPr>
        <w:t xml:space="preserve">z 2017 r. poz. 1579 z </w:t>
      </w:r>
      <w:proofErr w:type="spellStart"/>
      <w:r w:rsidRPr="00804C22">
        <w:rPr>
          <w:rFonts w:asciiTheme="minorHAnsi" w:hAnsiTheme="minorHAnsi" w:cstheme="minorHAnsi"/>
        </w:rPr>
        <w:t>późn</w:t>
      </w:r>
      <w:proofErr w:type="spellEnd"/>
      <w:r w:rsidRPr="00804C22">
        <w:rPr>
          <w:rFonts w:asciiTheme="minorHAnsi" w:hAnsiTheme="minorHAnsi" w:cstheme="minorHAnsi"/>
        </w:rPr>
        <w:t>. zm.), przesyłam treść otrzymanych pytań do specyfikacji istotnych warunków zamówienia wraz z wyjaśnieniami:</w:t>
      </w:r>
    </w:p>
    <w:p w:rsidR="00C80B1A" w:rsidRPr="00804C22" w:rsidRDefault="00C80B1A" w:rsidP="00A45889">
      <w:pPr>
        <w:jc w:val="both"/>
        <w:rPr>
          <w:rFonts w:asciiTheme="minorHAnsi" w:hAnsiTheme="minorHAnsi" w:cstheme="minorHAnsi"/>
          <w:b/>
          <w:bCs/>
        </w:rPr>
      </w:pPr>
    </w:p>
    <w:p w:rsidR="00C80B1A" w:rsidRPr="00804C22" w:rsidRDefault="00C80B1A" w:rsidP="00A45889">
      <w:pPr>
        <w:jc w:val="both"/>
        <w:rPr>
          <w:rFonts w:asciiTheme="minorHAnsi" w:hAnsiTheme="minorHAnsi" w:cstheme="minorHAnsi"/>
        </w:rPr>
      </w:pPr>
      <w:r w:rsidRPr="00804C22">
        <w:rPr>
          <w:rFonts w:asciiTheme="minorHAnsi" w:hAnsiTheme="minorHAnsi" w:cstheme="minorHAnsi"/>
          <w:b/>
          <w:bCs/>
        </w:rPr>
        <w:t>Pytanie nr 1</w:t>
      </w:r>
    </w:p>
    <w:p w:rsidR="000E4BA9" w:rsidRPr="00804C22" w:rsidRDefault="002B5BF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W PFU w opisie opraw oświetleniowych Zamawiający wymaga aby waga opraw nie przekraczała 7 kg.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Prosimy o dopuszczenie do stosowania opraw LED o wadze co najmniej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do 12 kg. Zmianę zapisu o wadze </w:t>
      </w:r>
      <w:r w:rsidRPr="00804C22">
        <w:rPr>
          <w:rFonts w:asciiTheme="minorHAnsi" w:hAnsiTheme="minorHAnsi" w:cstheme="minorHAnsi"/>
          <w:color w:val="auto"/>
          <w:lang w:bidi="ar-SA"/>
        </w:rPr>
        <w:t>opraw, np. do 12kg pozwoli na zachowanie zasad uczciwej konkure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ncji i nie ograniczy możliwości </w:t>
      </w:r>
      <w:r w:rsidRPr="00804C22">
        <w:rPr>
          <w:rFonts w:asciiTheme="minorHAnsi" w:hAnsiTheme="minorHAnsi" w:cstheme="minorHAnsi"/>
          <w:color w:val="auto"/>
          <w:lang w:bidi="ar-SA"/>
        </w:rPr>
        <w:t>stosowania produktów wyłącznie jednego producenta. Wa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rto dodać, że w przypadku opraw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wykonanych w technologii LED wyższa waga powinna być atutem a nie wadą gdyż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pozwala na lepsze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odprowadzenie ciepła, a tym samym poprawia wydajność oprawy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przez co możliwe jest obniżenie </w:t>
      </w:r>
      <w:r w:rsidRPr="00804C22">
        <w:rPr>
          <w:rFonts w:asciiTheme="minorHAnsi" w:hAnsiTheme="minorHAnsi" w:cstheme="minorHAnsi"/>
          <w:color w:val="auto"/>
          <w:lang w:bidi="ar-SA"/>
        </w:rPr>
        <w:t>zużycia energii oraz wydłuża się żywotność diod/oprawy, tym samym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zmniejszając koszty związane z </w:t>
      </w:r>
      <w:r w:rsidRPr="00804C22">
        <w:rPr>
          <w:rFonts w:asciiTheme="minorHAnsi" w:hAnsiTheme="minorHAnsi" w:cstheme="minorHAnsi"/>
          <w:color w:val="auto"/>
          <w:lang w:bidi="ar-SA"/>
        </w:rPr>
        <w:t>eksploatacją. Jeśli z jakich sobie znanych powodów, chcieliby Państ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wo utrzymać zapis ograniczający </w:t>
      </w:r>
      <w:r w:rsidRPr="00804C22">
        <w:rPr>
          <w:rFonts w:asciiTheme="minorHAnsi" w:hAnsiTheme="minorHAnsi" w:cstheme="minorHAnsi"/>
          <w:color w:val="auto"/>
          <w:lang w:bidi="ar-SA"/>
        </w:rPr>
        <w:t>wagę opraw do 7 kg, prosimy o przedstawienie wyników z eksperty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z technicznych potwierdzających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konieczność takiego ograniczenia dla typów słupów występujących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na terenie Gminy. Domyślamy się, </w:t>
      </w:r>
      <w:r w:rsidRPr="00804C22">
        <w:rPr>
          <w:rFonts w:asciiTheme="minorHAnsi" w:hAnsiTheme="minorHAnsi" w:cstheme="minorHAnsi"/>
          <w:color w:val="auto"/>
          <w:lang w:bidi="ar-SA"/>
        </w:rPr>
        <w:t>że posiadają Państwo takie dokumenty skoro wymagane jest tak ściśle ograniczenie wagi opraw LED.</w:t>
      </w:r>
    </w:p>
    <w:p w:rsidR="002B5BF9" w:rsidRPr="00804C22" w:rsidRDefault="002B5BF9" w:rsidP="002B5BF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C80B1A" w:rsidRPr="00804C22" w:rsidRDefault="00C80B1A" w:rsidP="00A45889">
      <w:pPr>
        <w:jc w:val="both"/>
        <w:rPr>
          <w:rFonts w:asciiTheme="minorHAnsi" w:hAnsiTheme="minorHAnsi" w:cstheme="minorHAnsi"/>
        </w:rPr>
      </w:pPr>
      <w:r w:rsidRPr="00804C22">
        <w:rPr>
          <w:rFonts w:asciiTheme="minorHAnsi" w:hAnsiTheme="minorHAnsi" w:cstheme="minorHAnsi"/>
          <w:b/>
          <w:bCs/>
          <w:i/>
          <w:iCs/>
          <w:u w:val="single"/>
        </w:rPr>
        <w:t>Odpowiedź:</w:t>
      </w:r>
    </w:p>
    <w:p w:rsidR="00C919FA" w:rsidRPr="00804C22" w:rsidRDefault="00882A99" w:rsidP="004538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lang w:bidi="ar-SA"/>
        </w:rPr>
      </w:pPr>
      <w:r w:rsidRPr="00804C22">
        <w:rPr>
          <w:rFonts w:asciiTheme="minorHAnsi" w:hAnsiTheme="minorHAnsi" w:cstheme="minorHAnsi"/>
          <w:i/>
        </w:rPr>
        <w:t xml:space="preserve">Z rozeznania Zamawiającego wynika, że opisany w SIWZ i PFU przedmiot zamówienia spełnia </w:t>
      </w:r>
      <w:r w:rsidR="006E2240" w:rsidRPr="00804C22">
        <w:rPr>
          <w:rFonts w:asciiTheme="minorHAnsi" w:hAnsiTheme="minorHAnsi" w:cstheme="minorHAnsi"/>
          <w:i/>
        </w:rPr>
        <w:t>więcej niż jeden</w:t>
      </w:r>
      <w:r w:rsidRPr="00804C22">
        <w:rPr>
          <w:rFonts w:asciiTheme="minorHAnsi" w:hAnsiTheme="minorHAnsi" w:cstheme="minorHAnsi"/>
          <w:i/>
        </w:rPr>
        <w:t xml:space="preserve"> producent, co w sposób wystarczający spełnia wymogi ustawy PZP</w:t>
      </w:r>
      <w:r w:rsidR="006E2240" w:rsidRPr="00804C22">
        <w:rPr>
          <w:rFonts w:asciiTheme="minorHAnsi" w:hAnsiTheme="minorHAnsi" w:cstheme="minorHAnsi"/>
          <w:i/>
        </w:rPr>
        <w:t xml:space="preserve">. Natomiast ze względu na </w:t>
      </w:r>
      <w:r w:rsidRPr="00804C22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6E2240" w:rsidRPr="00804C22">
        <w:rPr>
          <w:rFonts w:asciiTheme="minorHAnsi" w:hAnsiTheme="minorHAnsi" w:cstheme="minorHAnsi"/>
          <w:i/>
          <w:color w:val="auto"/>
          <w:lang w:bidi="ar-SA"/>
        </w:rPr>
        <w:t>zwiększenie zasad uczciwej konkurencji i nie ograniczanie możliwości</w:t>
      </w:r>
      <w:r w:rsidR="00453805" w:rsidRPr="00804C22">
        <w:rPr>
          <w:rFonts w:asciiTheme="minorHAnsi" w:hAnsiTheme="minorHAnsi" w:cstheme="minorHAnsi"/>
          <w:i/>
          <w:color w:val="auto"/>
          <w:lang w:bidi="ar-SA"/>
        </w:rPr>
        <w:t xml:space="preserve"> </w:t>
      </w:r>
      <w:r w:rsidR="006E2240" w:rsidRPr="00804C22">
        <w:rPr>
          <w:rFonts w:asciiTheme="minorHAnsi" w:hAnsiTheme="minorHAnsi" w:cstheme="minorHAnsi"/>
          <w:i/>
          <w:color w:val="auto"/>
          <w:lang w:bidi="ar-SA"/>
        </w:rPr>
        <w:t xml:space="preserve">stosowania produktów Zamawiający </w:t>
      </w:r>
      <w:r w:rsidR="00453805" w:rsidRPr="00804C22">
        <w:rPr>
          <w:rFonts w:asciiTheme="minorHAnsi" w:hAnsiTheme="minorHAnsi" w:cstheme="minorHAnsi"/>
          <w:i/>
          <w:color w:val="auto"/>
          <w:lang w:bidi="ar-SA"/>
        </w:rPr>
        <w:t>dopuszcza zastosowanie maksymalnej wag</w:t>
      </w:r>
      <w:r w:rsidR="006E2240" w:rsidRPr="00804C22">
        <w:rPr>
          <w:rFonts w:asciiTheme="minorHAnsi" w:hAnsiTheme="minorHAnsi" w:cstheme="minorHAnsi"/>
          <w:i/>
          <w:color w:val="auto"/>
          <w:lang w:bidi="ar-SA"/>
        </w:rPr>
        <w:t>i oprawy oświetleni</w:t>
      </w:r>
      <w:r w:rsidR="0056099B">
        <w:rPr>
          <w:rFonts w:asciiTheme="minorHAnsi" w:hAnsiTheme="minorHAnsi" w:cstheme="minorHAnsi"/>
          <w:i/>
          <w:color w:val="auto"/>
          <w:lang w:bidi="ar-SA"/>
        </w:rPr>
        <w:t>owej</w:t>
      </w:r>
      <w:r w:rsidR="006E2240" w:rsidRPr="00804C22">
        <w:rPr>
          <w:rFonts w:asciiTheme="minorHAnsi" w:hAnsiTheme="minorHAnsi" w:cstheme="minorHAnsi"/>
          <w:i/>
          <w:color w:val="auto"/>
          <w:lang w:bidi="ar-SA"/>
        </w:rPr>
        <w:t xml:space="preserve"> 7 kg -5</w:t>
      </w:r>
      <w:r w:rsidR="00453805" w:rsidRPr="00804C22">
        <w:rPr>
          <w:rFonts w:asciiTheme="minorHAnsi" w:hAnsiTheme="minorHAnsi" w:cstheme="minorHAnsi"/>
          <w:i/>
          <w:color w:val="auto"/>
          <w:lang w:bidi="ar-SA"/>
        </w:rPr>
        <w:t>%/+15%.</w:t>
      </w:r>
    </w:p>
    <w:p w:rsidR="00453805" w:rsidRPr="00804C22" w:rsidRDefault="00453805" w:rsidP="00A45889">
      <w:pPr>
        <w:rPr>
          <w:rFonts w:asciiTheme="minorHAnsi" w:hAnsiTheme="minorHAnsi" w:cstheme="minorHAnsi"/>
          <w:b/>
          <w:bCs/>
        </w:rPr>
      </w:pPr>
      <w:bookmarkStart w:id="2" w:name="_Hlk505688639"/>
    </w:p>
    <w:p w:rsidR="00C919FA" w:rsidRPr="00804C22" w:rsidRDefault="00C919FA" w:rsidP="00A45889">
      <w:pPr>
        <w:rPr>
          <w:rFonts w:asciiTheme="minorHAnsi" w:hAnsiTheme="minorHAnsi" w:cstheme="minorHAnsi"/>
        </w:rPr>
      </w:pPr>
      <w:r w:rsidRPr="00804C22">
        <w:rPr>
          <w:rFonts w:asciiTheme="minorHAnsi" w:hAnsiTheme="minorHAnsi" w:cstheme="minorHAnsi"/>
          <w:b/>
          <w:bCs/>
        </w:rPr>
        <w:t>Pytanie nr 2</w:t>
      </w:r>
    </w:p>
    <w:p w:rsidR="002B5BF9" w:rsidRPr="00804C22" w:rsidRDefault="002B5BF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W PFU w opisie opraw oświetleniowych jest zapis, iż „W przypadku zastosowania rozwiązań innych niż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804C22">
        <w:rPr>
          <w:rFonts w:asciiTheme="minorHAnsi" w:hAnsiTheme="minorHAnsi" w:cstheme="minorHAnsi"/>
          <w:color w:val="auto"/>
          <w:lang w:bidi="ar-SA"/>
        </w:rPr>
        <w:t>w projekcie bazowym (obliczeniach fotometrycznych) należy uzyskać wszystkie parametry</w:t>
      </w:r>
    </w:p>
    <w:p w:rsidR="002B5BF9" w:rsidRPr="00804C22" w:rsidRDefault="002B5BF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oświetleniowe nie gorsze niż te zastosowane w obliczeniach bazowych dla poszczególnych sytuacji.</w:t>
      </w:r>
    </w:p>
    <w:p w:rsidR="002B5BF9" w:rsidRPr="00804C22" w:rsidRDefault="002B5BF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Dodatkowo bilans mocy proponowanych opraw (wraz ze stratami) nie może być większy od mocy</w:t>
      </w:r>
    </w:p>
    <w:p w:rsidR="000E4BA9" w:rsidRPr="00804C22" w:rsidRDefault="002B5BF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całkowitej opraw użytych w projekcie referencyjnym. W celu weryfikacj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i przez projektanta w przypadku </w:t>
      </w:r>
      <w:r w:rsidRPr="00804C22">
        <w:rPr>
          <w:rFonts w:asciiTheme="minorHAnsi" w:hAnsiTheme="minorHAnsi" w:cstheme="minorHAnsi"/>
          <w:color w:val="auto"/>
          <w:lang w:bidi="ar-SA"/>
        </w:rPr>
        <w:t>użycia opraw równoważnych, do oferty należy dołączyć obli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czenia fotometryczne wykonane w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ogólnodostępnym programie obliczeniowym np. </w:t>
      </w:r>
      <w:proofErr w:type="spellStart"/>
      <w:r w:rsidRPr="00804C22">
        <w:rPr>
          <w:rFonts w:asciiTheme="minorHAnsi" w:hAnsiTheme="minorHAnsi" w:cstheme="minorHAnsi"/>
          <w:color w:val="auto"/>
          <w:lang w:bidi="ar-SA"/>
        </w:rPr>
        <w:t>Dialux</w:t>
      </w:r>
      <w:proofErr w:type="spellEnd"/>
      <w:r w:rsidRPr="00804C22">
        <w:rPr>
          <w:rFonts w:asciiTheme="minorHAnsi" w:hAnsiTheme="minorHAnsi" w:cstheme="minorHAnsi"/>
          <w:color w:val="auto"/>
          <w:lang w:bidi="ar-SA"/>
        </w:rPr>
        <w:t>/</w:t>
      </w:r>
      <w:proofErr w:type="spellStart"/>
      <w:r w:rsidRPr="00804C22">
        <w:rPr>
          <w:rFonts w:asciiTheme="minorHAnsi" w:hAnsiTheme="minorHAnsi" w:cstheme="minorHAnsi"/>
          <w:color w:val="auto"/>
          <w:lang w:bidi="ar-SA"/>
        </w:rPr>
        <w:t>Relux</w:t>
      </w:r>
      <w:proofErr w:type="spellEnd"/>
      <w:r w:rsidRPr="00804C22">
        <w:rPr>
          <w:rFonts w:asciiTheme="minorHAnsi" w:hAnsiTheme="minorHAnsi" w:cstheme="minorHAnsi"/>
          <w:color w:val="auto"/>
          <w:lang w:bidi="ar-SA"/>
        </w:rPr>
        <w:t xml:space="preserve"> pok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azujące spełnienie wymagań klas </w:t>
      </w:r>
      <w:r w:rsidRPr="00804C22">
        <w:rPr>
          <w:rFonts w:asciiTheme="minorHAnsi" w:hAnsiTheme="minorHAnsi" w:cstheme="minorHAnsi"/>
          <w:color w:val="auto"/>
          <w:lang w:bidi="ar-SA"/>
        </w:rPr>
        <w:t>oświetleniowych określonych w Normie PN-EN 13201 „Oświetle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nie dróg”. Obliczenia muszą być </w:t>
      </w:r>
      <w:r w:rsidRPr="00804C22">
        <w:rPr>
          <w:rFonts w:asciiTheme="minorHAnsi" w:hAnsiTheme="minorHAnsi" w:cstheme="minorHAnsi"/>
          <w:color w:val="auto"/>
          <w:lang w:bidi="ar-SA"/>
        </w:rPr>
        <w:t>wykonane dla identycznych założeń przyjętych dla bazowych obli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czeń fotometrycznych. Wykonawca </w:t>
      </w:r>
      <w:r w:rsidRPr="00804C22">
        <w:rPr>
          <w:rFonts w:asciiTheme="minorHAnsi" w:hAnsiTheme="minorHAnsi" w:cstheme="minorHAnsi"/>
          <w:color w:val="auto"/>
          <w:lang w:bidi="ar-SA"/>
        </w:rPr>
        <w:t>ma obowiązek dostarczenia kart katalogowych, deklaracji zgodnoś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ci oraz wymaganych certyfikatów </w:t>
      </w:r>
      <w:r w:rsidRPr="00804C22">
        <w:rPr>
          <w:rFonts w:asciiTheme="minorHAnsi" w:hAnsiTheme="minorHAnsi" w:cstheme="minorHAnsi"/>
          <w:color w:val="auto"/>
          <w:lang w:bidi="ar-SA"/>
        </w:rPr>
        <w:t>potwierdzających deklarowane parametry. Wykonawca/Dostawca p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owinien potwierdzić, że użyte w </w:t>
      </w:r>
      <w:r w:rsidRPr="00804C22">
        <w:rPr>
          <w:rFonts w:asciiTheme="minorHAnsi" w:hAnsiTheme="minorHAnsi" w:cstheme="minorHAnsi"/>
          <w:color w:val="auto"/>
          <w:lang w:bidi="ar-SA"/>
        </w:rPr>
        <w:t>obliczeniach pliki fotometryczne dla poszczególnych rozsyłów pochodzą od proponowanych typów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804C22">
        <w:rPr>
          <w:rFonts w:asciiTheme="minorHAnsi" w:hAnsiTheme="minorHAnsi" w:cstheme="minorHAnsi"/>
          <w:color w:val="auto"/>
          <w:lang w:bidi="ar-SA"/>
        </w:rPr>
        <w:t>opraw.”. Prosimy zatem o dołączenie obliczeń do dokumentacji przetargowej. Jest t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o niezbędne do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skutecznego doboru mocy opraw. Zamawiający określił moc </w:t>
      </w:r>
      <w:r w:rsidRPr="00804C22">
        <w:rPr>
          <w:rFonts w:asciiTheme="minorHAnsi" w:hAnsiTheme="minorHAnsi" w:cstheme="minorHAnsi"/>
          <w:color w:val="auto"/>
          <w:lang w:bidi="ar-SA"/>
        </w:rPr>
        <w:lastRenderedPageBreak/>
        <w:t>która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została wyliczone na podstawie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jakiejś konkretnej oprawy. Aby skutecznie dobrać oprawę innego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producenta, co pozwoli zachować </w:t>
      </w:r>
      <w:r w:rsidRPr="00804C22">
        <w:rPr>
          <w:rFonts w:asciiTheme="minorHAnsi" w:hAnsiTheme="minorHAnsi" w:cstheme="minorHAnsi"/>
          <w:color w:val="auto"/>
          <w:lang w:bidi="ar-SA"/>
        </w:rPr>
        <w:t>uczciwą konkurencję, musimy przeliczyć te wyniki. Przy wykorzystaniu t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echnologii LED różni producenci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mają wiele różnych optyk przez co łatwiej można optymalizować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dobór mocy. Załączenie obliczeń </w:t>
      </w:r>
      <w:r w:rsidRPr="00804C22">
        <w:rPr>
          <w:rFonts w:asciiTheme="minorHAnsi" w:hAnsiTheme="minorHAnsi" w:cstheme="minorHAnsi"/>
          <w:color w:val="auto"/>
          <w:lang w:bidi="ar-SA"/>
        </w:rPr>
        <w:t>fotometrycznych może spowodować zmniejszenie w niektórych pr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zypadkach mocy opraw co pozwoli </w:t>
      </w:r>
      <w:r w:rsidRPr="00804C22">
        <w:rPr>
          <w:rFonts w:asciiTheme="minorHAnsi" w:hAnsiTheme="minorHAnsi" w:cstheme="minorHAnsi"/>
          <w:color w:val="auto"/>
          <w:lang w:bidi="ar-SA"/>
        </w:rPr>
        <w:t>uzyskać lepszy efekt. Dodatkowo określenie mocy opraw i minima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lnego strumienia świetlnego nie </w:t>
      </w:r>
      <w:r w:rsidRPr="00804C22">
        <w:rPr>
          <w:rFonts w:asciiTheme="minorHAnsi" w:hAnsiTheme="minorHAnsi" w:cstheme="minorHAnsi"/>
          <w:color w:val="auto"/>
          <w:lang w:bidi="ar-SA"/>
        </w:rPr>
        <w:t>gwarantuje spełnienia norm we wszystkich sytuacjach, a taki jest wymóg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projektu. Aby firma składająca </w:t>
      </w:r>
      <w:r w:rsidRPr="00804C22">
        <w:rPr>
          <w:rFonts w:asciiTheme="minorHAnsi" w:hAnsiTheme="minorHAnsi" w:cstheme="minorHAnsi"/>
          <w:color w:val="auto"/>
          <w:lang w:bidi="ar-SA"/>
        </w:rPr>
        <w:t>ofertę mogła być pewna, że po podpisaniu umowy będzie w stanie spełnić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te parametry musi posiadać </w:t>
      </w:r>
      <w:r w:rsidRPr="00804C22">
        <w:rPr>
          <w:rFonts w:asciiTheme="minorHAnsi" w:hAnsiTheme="minorHAnsi" w:cstheme="minorHAnsi"/>
          <w:color w:val="auto"/>
          <w:lang w:bidi="ar-SA"/>
        </w:rPr>
        <w:t>obliczenia fotometryczne przed złożeniem oferty. Brak dołącze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nia tych danych spowoduje, iż w </w:t>
      </w:r>
      <w:r w:rsidRPr="00804C22">
        <w:rPr>
          <w:rFonts w:asciiTheme="minorHAnsi" w:hAnsiTheme="minorHAnsi" w:cstheme="minorHAnsi"/>
          <w:color w:val="auto"/>
          <w:lang w:bidi="ar-SA"/>
        </w:rPr>
        <w:t xml:space="preserve">momencie składania ofert, pewna spełnienia parametrów będzie 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tylko firma na podstawie której </w:t>
      </w:r>
      <w:r w:rsidRPr="00804C22">
        <w:rPr>
          <w:rFonts w:asciiTheme="minorHAnsi" w:hAnsiTheme="minorHAnsi" w:cstheme="minorHAnsi"/>
          <w:color w:val="auto"/>
          <w:lang w:bidi="ar-SA"/>
        </w:rPr>
        <w:t>zostały wykonane obliczenia fotometryczne co przeczy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zasadzie uczciwej konkurencji. </w:t>
      </w:r>
      <w:r w:rsidRPr="00804C22">
        <w:rPr>
          <w:rFonts w:asciiTheme="minorHAnsi" w:hAnsiTheme="minorHAnsi" w:cstheme="minorHAnsi"/>
          <w:color w:val="auto"/>
          <w:lang w:bidi="ar-SA"/>
        </w:rPr>
        <w:t>Dodatkowo jednym z kryterium oceny ofert jest „Stopień red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ukcji” w którym punktowane jest </w:t>
      </w:r>
      <w:r w:rsidRPr="00804C22">
        <w:rPr>
          <w:rFonts w:asciiTheme="minorHAnsi" w:hAnsiTheme="minorHAnsi" w:cstheme="minorHAnsi"/>
          <w:color w:val="auto"/>
          <w:lang w:bidi="ar-SA"/>
        </w:rPr>
        <w:t>zmniejszenie zużycia energii elektrycznej w stosunku do stanu p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rojektowanego. Nie jest możliwe </w:t>
      </w:r>
      <w:r w:rsidRPr="00804C22">
        <w:rPr>
          <w:rFonts w:asciiTheme="minorHAnsi" w:hAnsiTheme="minorHAnsi" w:cstheme="minorHAnsi"/>
          <w:color w:val="auto"/>
          <w:lang w:bidi="ar-SA"/>
        </w:rPr>
        <w:t>określenie poziomu o jaki możemy zmniejszyć ten parametr bez bazowych obliczeń fotometrycznych.</w:t>
      </w:r>
    </w:p>
    <w:p w:rsidR="00102889" w:rsidRPr="00804C22" w:rsidRDefault="00102889" w:rsidP="00804C22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C919FA" w:rsidRPr="00804C22" w:rsidRDefault="00C919FA" w:rsidP="00A45889">
      <w:pPr>
        <w:rPr>
          <w:rFonts w:asciiTheme="minorHAnsi" w:hAnsiTheme="minorHAnsi" w:cstheme="minorHAnsi"/>
        </w:rPr>
      </w:pPr>
      <w:r w:rsidRPr="00804C22">
        <w:rPr>
          <w:rFonts w:asciiTheme="minorHAnsi" w:hAnsiTheme="minorHAnsi" w:cstheme="minorHAnsi"/>
          <w:b/>
          <w:bCs/>
          <w:i/>
          <w:iCs/>
          <w:u w:val="single"/>
        </w:rPr>
        <w:t>Odpowiedź:</w:t>
      </w:r>
    </w:p>
    <w:bookmarkEnd w:id="2"/>
    <w:p w:rsidR="00453805" w:rsidRPr="00804C22" w:rsidRDefault="00453805" w:rsidP="001028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04C22">
        <w:rPr>
          <w:rFonts w:asciiTheme="minorHAnsi" w:eastAsia="Times New Roman" w:hAnsiTheme="minorHAnsi" w:cstheme="minorHAnsi"/>
          <w:i/>
          <w:lang w:eastAsia="pl-PL"/>
        </w:rPr>
        <w:t>Zamawiający załącza przykładowe obliczenia fotometryczne dla kategorii dróg występujących w miejscach dobudowy oświetlenia. Obliczenia mają charakter pomocowy, pokazujący możliwość spełnienia wymogów normy przy zastosowaniu opraw o mocy maks. dającej osiągnięcie założonego poziomu oszczędności. Zamawiający zwraca uwagę, że elementem niezbędnym do wykazania spełnienia wymagań normy PN-EN 13201 jest wykonanie dla proponowanych opraw obliczeń fotometrycznych</w:t>
      </w:r>
      <w:r w:rsidR="00102889" w:rsidRPr="00804C22">
        <w:rPr>
          <w:rFonts w:asciiTheme="minorHAnsi" w:eastAsia="Times New Roman" w:hAnsiTheme="minorHAnsi" w:cstheme="minorHAnsi"/>
          <w:i/>
          <w:lang w:eastAsia="pl-PL"/>
        </w:rPr>
        <w:t xml:space="preserve"> oraz osiągnięcie</w:t>
      </w:r>
      <w:r w:rsidR="00102889" w:rsidRPr="00804C22">
        <w:rPr>
          <w:rFonts w:asciiTheme="minorHAnsi" w:eastAsia="Times New Roman" w:hAnsiTheme="minorHAnsi" w:cstheme="minorHAnsi"/>
          <w:lang w:eastAsia="pl-PL"/>
        </w:rPr>
        <w:t xml:space="preserve"> </w:t>
      </w:r>
      <w:r w:rsidR="00102889" w:rsidRPr="00804C22">
        <w:rPr>
          <w:rFonts w:asciiTheme="minorHAnsi" w:eastAsia="Times New Roman" w:hAnsiTheme="minorHAnsi" w:cstheme="minorHAnsi"/>
          <w:i/>
          <w:lang w:eastAsia="pl-PL"/>
        </w:rPr>
        <w:t>wymaganego w PFU efektu ekonomicznego z ograniczenia zużycia energii elektrycznej.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  <w:r w:rsidRPr="00804C22">
        <w:rPr>
          <w:rFonts w:asciiTheme="minorHAnsi" w:hAnsiTheme="minorHAnsi" w:cstheme="minorHAnsi"/>
          <w:b/>
          <w:color w:val="auto"/>
          <w:lang w:bidi="ar-SA"/>
        </w:rPr>
        <w:t>Pytanie nr 3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</w:p>
    <w:p w:rsidR="00102889" w:rsidRPr="00804C22" w:rsidRDefault="0010288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W PFU w opisie opraw oświetleniowych Zamawiający wymaga stopień odporności klosza na uderzenia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804C22">
        <w:rPr>
          <w:rFonts w:asciiTheme="minorHAnsi" w:hAnsiTheme="minorHAnsi" w:cstheme="minorHAnsi"/>
          <w:color w:val="auto"/>
          <w:lang w:bidi="ar-SA"/>
        </w:rPr>
        <w:t>mechaniczne: IK09. Prosimy o potwierdzenie, że parametr ten należy potwierdzić raportem z badań.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u w:val="single"/>
          <w:lang w:bidi="ar-SA"/>
        </w:rPr>
      </w:pP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>Odpowiedź: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804C22">
        <w:rPr>
          <w:rFonts w:asciiTheme="minorHAnsi" w:eastAsia="Times New Roman" w:hAnsiTheme="minorHAnsi" w:cstheme="minorHAnsi"/>
          <w:i/>
          <w:lang w:eastAsia="pl-PL"/>
        </w:rPr>
        <w:t xml:space="preserve">Dla spełnienia wymogu odporności udarowej IK09 Zamawiający </w:t>
      </w:r>
      <w:r w:rsidRPr="00804C22">
        <w:rPr>
          <w:rFonts w:asciiTheme="minorHAnsi" w:hAnsiTheme="minorHAnsi" w:cstheme="minorHAnsi"/>
          <w:i/>
        </w:rPr>
        <w:t>zastrzega sobie prawo do żądania dostarczenia dodatkowych dokumentów technicznych np. atestów i certyfikatów, potwierdzających zadeklarowane parametry techniczne i użytkowe opraw proponowanych przez wykonawców.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  <w:r w:rsidRPr="00804C22">
        <w:rPr>
          <w:rFonts w:asciiTheme="minorHAnsi" w:hAnsiTheme="minorHAnsi" w:cstheme="minorHAnsi"/>
          <w:b/>
          <w:color w:val="auto"/>
          <w:lang w:bidi="ar-SA"/>
        </w:rPr>
        <w:t>Pytanie nr 4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</w:p>
    <w:p w:rsidR="00102889" w:rsidRPr="00804C22" w:rsidRDefault="0010288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W PFU w opisie opraw oświetleniowych Zamawiający wymaga stopień</w:t>
      </w:r>
      <w:r w:rsidR="00804C22">
        <w:rPr>
          <w:rFonts w:asciiTheme="minorHAnsi" w:hAnsiTheme="minorHAnsi" w:cstheme="minorHAnsi"/>
          <w:color w:val="auto"/>
          <w:lang w:bidi="ar-SA"/>
        </w:rPr>
        <w:t xml:space="preserve"> szczelności komory optycznej i </w:t>
      </w:r>
      <w:r w:rsidRPr="00804C22">
        <w:rPr>
          <w:rFonts w:asciiTheme="minorHAnsi" w:hAnsiTheme="minorHAnsi" w:cstheme="minorHAnsi"/>
          <w:color w:val="auto"/>
          <w:lang w:bidi="ar-SA"/>
        </w:rPr>
        <w:t>elektrycznej: IP66. Prosimy o potwierdzenie, że parametr ten należy potwierdzić raportem z badań.</w:t>
      </w: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 xml:space="preserve"> 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u w:val="single"/>
          <w:lang w:bidi="ar-SA"/>
        </w:rPr>
      </w:pP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>Odpowiedź:</w:t>
      </w:r>
    </w:p>
    <w:p w:rsidR="00102889" w:rsidRPr="00804C22" w:rsidRDefault="0010288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lang w:bidi="ar-SA"/>
        </w:rPr>
      </w:pPr>
      <w:r w:rsidRPr="00804C22">
        <w:rPr>
          <w:rFonts w:asciiTheme="minorHAnsi" w:eastAsia="Times New Roman" w:hAnsiTheme="minorHAnsi" w:cstheme="minorHAnsi"/>
          <w:i/>
          <w:lang w:eastAsia="pl-PL"/>
        </w:rPr>
        <w:t xml:space="preserve">Dla spełnienia wymogu </w:t>
      </w:r>
      <w:r w:rsidRPr="00804C22">
        <w:rPr>
          <w:rFonts w:asciiTheme="minorHAnsi" w:hAnsiTheme="minorHAnsi" w:cstheme="minorHAnsi"/>
          <w:i/>
          <w:color w:val="auto"/>
          <w:lang w:bidi="ar-SA"/>
        </w:rPr>
        <w:t xml:space="preserve">stopnia szczelności komory optycznej i elektrycznej: IP66 </w:t>
      </w:r>
      <w:r w:rsidRPr="00804C22">
        <w:rPr>
          <w:rFonts w:asciiTheme="minorHAnsi" w:eastAsia="Times New Roman" w:hAnsiTheme="minorHAnsi" w:cstheme="minorHAnsi"/>
          <w:i/>
          <w:lang w:eastAsia="pl-PL"/>
        </w:rPr>
        <w:t xml:space="preserve">Zamawiający </w:t>
      </w:r>
      <w:r w:rsidRPr="00804C22">
        <w:rPr>
          <w:rFonts w:asciiTheme="minorHAnsi" w:hAnsiTheme="minorHAnsi" w:cstheme="minorHAnsi"/>
          <w:i/>
        </w:rPr>
        <w:t>zastrzega sobie prawo do żądania dostarczenia dodatkowych dokumentów technicznych np. atestów i certyfikatów, potwierdzających zadeklarowane parametry techniczne i użytkowe opraw proponowanych przez wykonawców.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  <w:r w:rsidRPr="00804C22">
        <w:rPr>
          <w:rFonts w:asciiTheme="minorHAnsi" w:hAnsiTheme="minorHAnsi" w:cstheme="minorHAnsi"/>
          <w:b/>
          <w:color w:val="auto"/>
          <w:lang w:bidi="ar-SA"/>
        </w:rPr>
        <w:lastRenderedPageBreak/>
        <w:t>Pytanie nr 5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</w:p>
    <w:p w:rsidR="00102889" w:rsidRPr="00804C22" w:rsidRDefault="00102889" w:rsidP="001028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804C22">
        <w:rPr>
          <w:rFonts w:asciiTheme="minorHAnsi" w:hAnsiTheme="minorHAnsi" w:cstheme="minorHAnsi"/>
          <w:color w:val="auto"/>
          <w:lang w:bidi="ar-SA"/>
        </w:rPr>
        <w:t>W PFU w opisie opraw oświetleniowych Zamawiający wymaga, aby użyte w oprawie panele LED spełniały wymagania normy EN 62471 „Bezpieczeństwo fotobiologiczne lamp i systemów lampowych”. Prosimy o potwierdzenie, że parametr ten należy potwierdzić raportem z badań wykonanym przez akredytowane laboratorium.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u w:val="single"/>
          <w:lang w:bidi="ar-SA"/>
        </w:rPr>
      </w:pP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>Odpowiedź:</w:t>
      </w:r>
    </w:p>
    <w:p w:rsidR="00102889" w:rsidRPr="00804C22" w:rsidRDefault="00102889" w:rsidP="0080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lang w:bidi="ar-SA"/>
        </w:rPr>
      </w:pPr>
      <w:r w:rsidRPr="00804C22">
        <w:rPr>
          <w:rFonts w:asciiTheme="minorHAnsi" w:eastAsia="Times New Roman" w:hAnsiTheme="minorHAnsi" w:cstheme="minorHAnsi"/>
          <w:i/>
          <w:lang w:eastAsia="pl-PL"/>
        </w:rPr>
        <w:t xml:space="preserve">Dla </w:t>
      </w:r>
      <w:r w:rsidRPr="00804C22">
        <w:rPr>
          <w:rFonts w:asciiTheme="minorHAnsi" w:hAnsiTheme="minorHAnsi" w:cstheme="minorHAnsi"/>
          <w:i/>
          <w:color w:val="auto"/>
          <w:lang w:bidi="ar-SA"/>
        </w:rPr>
        <w:t xml:space="preserve"> spełnienia wymagań normy EN 62471 „Bezpieczeństwo fotobiologiczne lamp i systemów lampowych </w:t>
      </w:r>
      <w:r w:rsidRPr="00804C22">
        <w:rPr>
          <w:rFonts w:asciiTheme="minorHAnsi" w:eastAsia="Times New Roman" w:hAnsiTheme="minorHAnsi" w:cstheme="minorHAnsi"/>
          <w:i/>
          <w:lang w:eastAsia="pl-PL"/>
        </w:rPr>
        <w:t xml:space="preserve">Zamawiający </w:t>
      </w:r>
      <w:r w:rsidRPr="00804C22">
        <w:rPr>
          <w:rFonts w:asciiTheme="minorHAnsi" w:hAnsiTheme="minorHAnsi" w:cstheme="minorHAnsi"/>
          <w:i/>
        </w:rPr>
        <w:t>zastrzega sobie prawo do żądania dostarczenia dodatkowych dokumentów technicznych np. atestów i certyfikatów, potwierdzających zadeklarowane parametry techniczne i użytkowe opraw proponowanych przez wykonawców.</w:t>
      </w:r>
    </w:p>
    <w:p w:rsidR="00804C22" w:rsidRDefault="00804C22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  <w:r w:rsidRPr="00804C22">
        <w:rPr>
          <w:rFonts w:asciiTheme="minorHAnsi" w:hAnsiTheme="minorHAnsi" w:cstheme="minorHAnsi"/>
          <w:b/>
          <w:color w:val="auto"/>
          <w:lang w:bidi="ar-SA"/>
        </w:rPr>
        <w:t>Pytanie nr 6</w:t>
      </w:r>
    </w:p>
    <w:p w:rsidR="00804C22" w:rsidRDefault="00102889" w:rsidP="00804C22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Czy Zamawiający przewiduje stosowanie kompensacji mocy biernej pojemnościowej, która towarzyszy oświetleniu typu LED?</w:t>
      </w:r>
    </w:p>
    <w:p w:rsidR="00102889" w:rsidRPr="00102889" w:rsidRDefault="00102889" w:rsidP="00804C22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W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ponkcie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2.3.11.3 PFU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Parzeczew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Aktualizacja napisano:</w:t>
      </w:r>
    </w:p>
    <w:p w:rsidR="00102889" w:rsidRPr="00102889" w:rsidRDefault="00102889" w:rsidP="00804C22">
      <w:pPr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b/>
          <w:bCs/>
          <w:color w:val="auto"/>
          <w:lang w:eastAsia="pl-PL" w:bidi="ar-SA"/>
        </w:rPr>
        <w:t xml:space="preserve">„10) Kompensacja mocy biernej. 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Oprawy powinny być wyposażone w zasilacze nie generujące przekroczenia dopuszczalnej wartości mocy biernej w całym zakresie pracy - również po redukcji strumienia świetlnego.”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Oprawy LED charakteryzują się poborem mocy biernej pojemnościowej, która powinna być skompensowana, jeżeli użytkownik chce uniknąć dodatkowych opłat. Wskazane jest zastosowanie centralnej kompensacji mocy biernej pojemnościowej na obwodach z oprawami LED, aby utrzymać współczynnik zgody z wymogami URE, tj.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cosfi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&gt;0,93 i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tg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&lt;0,4 dla strony indukcji. Brak kompensacji naraża Inwestora na dodatkowe opłaty, które mogą wystąpić w przypadku wymiany liczników na zdalny odczyt i/lub zmieni się operator energii.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Gmina zostanie obciążona dodatkowymi opłatami wysokości 3-krotnej wartości zużywanej energii mocy czynnej. Dodatkowym problemem mocy biernej pojemnościowej (zgodnie z trójkątem mocy), jest jej dynamiczna zmiana przy stosowaniu wielostopniowej redukcji mocy czynnej w czasie świecenia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cosfi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spada nawet do wartości 0,3. W celu utrzymania założeń ekonomicznych projektu i ekologicznych należy na etapie modernizacji przewidzieć kilkustopniową redukcję mocy biernej pojemnościowej zgodnie ze zmianą redukcji mocy czynnej w oprawach na poszczególnych fazach.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 </w:t>
      </w:r>
    </w:p>
    <w:p w:rsidR="00102889" w:rsidRPr="00102889" w:rsidRDefault="00102889" w:rsidP="00B63D1E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Zaleca się min. 4 stopnie na fazę.</w:t>
      </w:r>
    </w:p>
    <w:p w:rsidR="00102889" w:rsidRPr="00102889" w:rsidRDefault="00102889" w:rsidP="00B63D1E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Przykład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Oprawa LED 100W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Cos fi = 0,95,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Tg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fi = 0,33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Moc pojemnościowa 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Qp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= 33 [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Var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]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Przy stawce 0,50 zł kWh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koszt świecenia oprawy (1h) wynosi: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0,1 [kW] x 0,5 [zł] x 1 [h] = 0,05 zł 1kWh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koszt dodatkowy oprawy za moc bierną wynosi: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0,033 [</w:t>
      </w:r>
      <w:proofErr w:type="spellStart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kVAr</w:t>
      </w:r>
      <w:proofErr w:type="spellEnd"/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] x 0,05 [zł] x 3 [krotność moc bierna] x1[h] = 0,049 zł 1kVArh </w:t>
      </w:r>
    </w:p>
    <w:p w:rsidR="00102889" w:rsidRPr="00102889" w:rsidRDefault="00102889" w:rsidP="00804C22">
      <w:pPr>
        <w:autoSpaceDE w:val="0"/>
        <w:autoSpaceDN w:val="0"/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Zatem całkowity koszt świecenia oprawy 100W zamiast 0,05 zł za 1h będzie wynosić:</w:t>
      </w:r>
    </w:p>
    <w:p w:rsidR="00102889" w:rsidRPr="00102889" w:rsidRDefault="00102889" w:rsidP="00804C22">
      <w:pPr>
        <w:ind w:firstLine="426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102889">
        <w:rPr>
          <w:rFonts w:asciiTheme="minorHAnsi" w:eastAsia="Times New Roman" w:hAnsiTheme="minorHAnsi" w:cstheme="minorHAnsi"/>
          <w:color w:val="auto"/>
          <w:lang w:eastAsia="pl-PL" w:bidi="ar-SA"/>
        </w:rPr>
        <w:t>0,0995 zł 1kWh (tyle co 10-letniej oprawy SODOWEJ 150W) !!!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u w:val="single"/>
          <w:lang w:bidi="ar-SA"/>
        </w:rPr>
      </w:pP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>Odpowiedź:</w:t>
      </w:r>
    </w:p>
    <w:p w:rsidR="00102889" w:rsidRPr="00804C22" w:rsidRDefault="00B171E0" w:rsidP="00B63D1E">
      <w:pPr>
        <w:pStyle w:val="Akapitzlist"/>
        <w:spacing w:before="100" w:beforeAutospacing="1" w:after="100" w:afterAutospacing="1"/>
        <w:ind w:left="142"/>
        <w:contextualSpacing w:val="0"/>
        <w:jc w:val="both"/>
        <w:rPr>
          <w:rFonts w:asciiTheme="minorHAnsi" w:hAnsiTheme="minorHAnsi" w:cstheme="minorHAnsi"/>
          <w:i/>
          <w:szCs w:val="24"/>
        </w:rPr>
      </w:pPr>
      <w:r w:rsidRPr="00804C22">
        <w:rPr>
          <w:rFonts w:asciiTheme="minorHAnsi" w:hAnsiTheme="minorHAnsi" w:cstheme="minorHAnsi"/>
          <w:i/>
          <w:szCs w:val="24"/>
        </w:rPr>
        <w:lastRenderedPageBreak/>
        <w:t xml:space="preserve">Zamawiający na tym etapie nie przewiduje instalacji dodatkowych urządzeń kompensacji mocy biernej. Natomiast Zamawiający wymaga, aby przy projektowaniu i budowie nowych szaf oświetleniowych (budowa 2 nowych szaf oraz wyniesienie układów pomiarowych ze stacji </w:t>
      </w:r>
      <w:proofErr w:type="spellStart"/>
      <w:r w:rsidRPr="00804C22">
        <w:rPr>
          <w:rFonts w:asciiTheme="minorHAnsi" w:hAnsiTheme="minorHAnsi" w:cstheme="minorHAnsi"/>
          <w:i/>
          <w:szCs w:val="24"/>
        </w:rPr>
        <w:t>trafo</w:t>
      </w:r>
      <w:proofErr w:type="spellEnd"/>
      <w:r w:rsidRPr="00804C22">
        <w:rPr>
          <w:rFonts w:asciiTheme="minorHAnsi" w:hAnsiTheme="minorHAnsi" w:cstheme="minorHAnsi"/>
          <w:i/>
          <w:szCs w:val="24"/>
        </w:rPr>
        <w:t xml:space="preserve"> PGE) uwzględnić w rozmiarach obudowy ewentualne przyszłe wstawienie kompensatorów mocy biernej.</w:t>
      </w:r>
    </w:p>
    <w:p w:rsidR="00102889" w:rsidRPr="00804C22" w:rsidRDefault="00B171E0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  <w:r w:rsidRPr="00804C22">
        <w:rPr>
          <w:rFonts w:asciiTheme="minorHAnsi" w:hAnsiTheme="minorHAnsi" w:cstheme="minorHAnsi"/>
          <w:b/>
          <w:color w:val="auto"/>
          <w:lang w:bidi="ar-SA"/>
        </w:rPr>
        <w:t>Pytanie nr 7</w:t>
      </w:r>
    </w:p>
    <w:p w:rsidR="00B171E0" w:rsidRPr="00B171E0" w:rsidRDefault="00B171E0" w:rsidP="00B63D1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Czy Zamawiający przewiduje montaż układów tzw. </w:t>
      </w:r>
      <w:proofErr w:type="spellStart"/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>softstart</w:t>
      </w:r>
      <w:proofErr w:type="spellEnd"/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ograniczających znacznie prąd rozruchowy opraw LED i pozwalających na zastosowanie nomin</w:t>
      </w:r>
      <w:r w:rsidRPr="00804C22">
        <w:rPr>
          <w:rFonts w:asciiTheme="minorHAnsi" w:eastAsia="Times New Roman" w:hAnsiTheme="minorHAnsi" w:cstheme="minorHAnsi"/>
          <w:color w:val="auto"/>
          <w:lang w:eastAsia="pl-PL" w:bidi="ar-SA"/>
        </w:rPr>
        <w:t>alnych zabezpieczeń na obwodach</w:t>
      </w:r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? Liczne pomiary potwierdzają bardzo wysoki prąd rozruchowy opraw LED wynoszący nawet 200-tną wartość prądu znamionowego w czasie do 50 ms.  (Nie należy mylić pojęcia </w:t>
      </w:r>
      <w:proofErr w:type="spellStart"/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>softstartu</w:t>
      </w:r>
      <w:proofErr w:type="spellEnd"/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 z łagodnym rozruche</w:t>
      </w:r>
      <w:r w:rsidR="00B63D1E">
        <w:rPr>
          <w:rFonts w:asciiTheme="minorHAnsi" w:eastAsia="Times New Roman" w:hAnsiTheme="minorHAnsi" w:cstheme="minorHAnsi"/>
          <w:color w:val="auto"/>
          <w:lang w:eastAsia="pl-PL" w:bidi="ar-SA"/>
        </w:rPr>
        <w:t>m diod LED, czyli tzw. błysku).</w:t>
      </w:r>
    </w:p>
    <w:p w:rsidR="00B171E0" w:rsidRPr="00B171E0" w:rsidRDefault="00B171E0" w:rsidP="00B171E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lang w:eastAsia="pl-PL" w:bidi="ar-SA"/>
        </w:rPr>
      </w:pPr>
      <w:r w:rsidRPr="00B171E0">
        <w:rPr>
          <w:rFonts w:asciiTheme="minorHAnsi" w:eastAsia="Times New Roman" w:hAnsiTheme="minorHAnsi" w:cstheme="minorHAnsi"/>
          <w:color w:val="auto"/>
          <w:lang w:eastAsia="pl-PL" w:bidi="ar-SA"/>
        </w:rPr>
        <w:t> 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u w:val="single"/>
          <w:lang w:bidi="ar-SA"/>
        </w:rPr>
      </w:pP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>Odpowiedź:</w:t>
      </w:r>
    </w:p>
    <w:p w:rsidR="00B171E0" w:rsidRPr="00B63D1E" w:rsidRDefault="00B171E0" w:rsidP="00B63D1E">
      <w:pPr>
        <w:pStyle w:val="Akapitzlist"/>
        <w:spacing w:before="100" w:beforeAutospacing="1" w:after="100" w:afterAutospacing="1"/>
        <w:ind w:left="142"/>
        <w:contextualSpacing w:val="0"/>
        <w:jc w:val="both"/>
        <w:rPr>
          <w:rFonts w:asciiTheme="minorHAnsi" w:hAnsiTheme="minorHAnsi" w:cstheme="minorHAnsi"/>
          <w:i/>
          <w:szCs w:val="24"/>
        </w:rPr>
      </w:pPr>
      <w:r w:rsidRPr="00B63D1E">
        <w:rPr>
          <w:rFonts w:asciiTheme="minorHAnsi" w:hAnsiTheme="minorHAnsi" w:cstheme="minorHAnsi"/>
          <w:i/>
          <w:szCs w:val="24"/>
        </w:rPr>
        <w:t xml:space="preserve">Zamawiający nie przewiduje na etapie prowadzonego postępowania montażu układów tzw. </w:t>
      </w:r>
      <w:proofErr w:type="spellStart"/>
      <w:r w:rsidRPr="00B63D1E">
        <w:rPr>
          <w:rFonts w:asciiTheme="minorHAnsi" w:hAnsiTheme="minorHAnsi" w:cstheme="minorHAnsi"/>
          <w:i/>
          <w:szCs w:val="24"/>
        </w:rPr>
        <w:t>softstart</w:t>
      </w:r>
      <w:proofErr w:type="spellEnd"/>
      <w:r w:rsidRPr="00B63D1E">
        <w:rPr>
          <w:rFonts w:asciiTheme="minorHAnsi" w:hAnsiTheme="minorHAnsi" w:cstheme="minorHAnsi"/>
          <w:i/>
          <w:szCs w:val="24"/>
        </w:rPr>
        <w:t xml:space="preserve">. Według Zamawiającego dodatkowe startowe obciążenie istniejących obwodów będzie nieznaczne i nie ma konieczności stosowania powyższych układów </w:t>
      </w:r>
      <w:proofErr w:type="spellStart"/>
      <w:r w:rsidRPr="00B63D1E">
        <w:rPr>
          <w:rFonts w:asciiTheme="minorHAnsi" w:hAnsiTheme="minorHAnsi" w:cstheme="minorHAnsi"/>
          <w:i/>
          <w:szCs w:val="24"/>
        </w:rPr>
        <w:t>softstart</w:t>
      </w:r>
      <w:proofErr w:type="spellEnd"/>
      <w:r w:rsidRPr="00B63D1E">
        <w:rPr>
          <w:rFonts w:asciiTheme="minorHAnsi" w:hAnsiTheme="minorHAnsi" w:cstheme="minorHAnsi"/>
          <w:i/>
          <w:szCs w:val="24"/>
        </w:rPr>
        <w:t xml:space="preserve"> na tym etapie modernizacji.</w:t>
      </w:r>
    </w:p>
    <w:p w:rsidR="00102889" w:rsidRPr="00804C22" w:rsidRDefault="00102889" w:rsidP="001028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lang w:bidi="ar-SA"/>
        </w:rPr>
      </w:pPr>
      <w:r w:rsidRPr="00804C22">
        <w:rPr>
          <w:rFonts w:asciiTheme="minorHAnsi" w:hAnsiTheme="minorHAnsi" w:cstheme="minorHAnsi"/>
          <w:b/>
          <w:color w:val="auto"/>
          <w:lang w:bidi="ar-SA"/>
        </w:rPr>
        <w:t xml:space="preserve">Pytanie nr </w:t>
      </w:r>
      <w:r w:rsidR="00B171E0" w:rsidRPr="00804C22">
        <w:rPr>
          <w:rFonts w:asciiTheme="minorHAnsi" w:hAnsiTheme="minorHAnsi" w:cstheme="minorHAnsi"/>
          <w:b/>
          <w:color w:val="auto"/>
          <w:lang w:bidi="ar-SA"/>
        </w:rPr>
        <w:t>8</w:t>
      </w:r>
    </w:p>
    <w:p w:rsidR="00B171E0" w:rsidRPr="00804C22" w:rsidRDefault="00B171E0" w:rsidP="00B63D1E">
      <w:pPr>
        <w:tabs>
          <w:tab w:val="left" w:pos="345"/>
          <w:tab w:val="left" w:pos="1545"/>
        </w:tabs>
        <w:suppressAutoHyphens/>
        <w:spacing w:line="312" w:lineRule="auto"/>
        <w:jc w:val="both"/>
        <w:rPr>
          <w:rFonts w:asciiTheme="minorHAnsi" w:hAnsiTheme="minorHAnsi" w:cstheme="minorHAnsi"/>
          <w:color w:val="auto"/>
        </w:rPr>
      </w:pPr>
      <w:r w:rsidRPr="00804C22">
        <w:rPr>
          <w:rFonts w:asciiTheme="minorHAnsi" w:eastAsia="Times New Roman" w:hAnsiTheme="minorHAnsi" w:cstheme="minorHAnsi"/>
          <w:color w:val="000000"/>
        </w:rPr>
        <w:t xml:space="preserve">Czy Zamawiający nie uważa za ekonomicznie bardziej uzasadnione przeznaczenie środków przewidzianych na zakup i montaż reduktorów do szaf SO na wymianę opraw </w:t>
      </w:r>
      <w:r w:rsidR="00B63D1E">
        <w:rPr>
          <w:rFonts w:asciiTheme="minorHAnsi" w:eastAsia="Times New Roman" w:hAnsiTheme="minorHAnsi" w:cstheme="minorHAnsi"/>
          <w:color w:val="000000"/>
        </w:rPr>
        <w:t>np.</w:t>
      </w:r>
      <w:r w:rsidRPr="00804C22">
        <w:rPr>
          <w:rFonts w:asciiTheme="minorHAnsi" w:eastAsia="Times New Roman" w:hAnsiTheme="minorHAnsi" w:cstheme="minorHAnsi"/>
          <w:color w:val="000000"/>
        </w:rPr>
        <w:t xml:space="preserve"> najmnie</w:t>
      </w:r>
      <w:r w:rsidR="00B63D1E">
        <w:rPr>
          <w:rFonts w:asciiTheme="minorHAnsi" w:eastAsia="Times New Roman" w:hAnsiTheme="minorHAnsi" w:cstheme="minorHAnsi"/>
          <w:color w:val="000000"/>
        </w:rPr>
        <w:t xml:space="preserve">j efektywnych rtęciowych na </w:t>
      </w:r>
      <w:proofErr w:type="spellStart"/>
      <w:r w:rsidR="00B63D1E">
        <w:rPr>
          <w:rFonts w:asciiTheme="minorHAnsi" w:eastAsia="Times New Roman" w:hAnsiTheme="minorHAnsi" w:cstheme="minorHAnsi"/>
          <w:color w:val="000000"/>
        </w:rPr>
        <w:t>led</w:t>
      </w:r>
      <w:proofErr w:type="spellEnd"/>
      <w:r w:rsidRPr="00804C22">
        <w:rPr>
          <w:rFonts w:asciiTheme="minorHAnsi" w:eastAsia="Times New Roman" w:hAnsiTheme="minorHAnsi" w:cstheme="minorHAnsi"/>
          <w:color w:val="000000"/>
        </w:rPr>
        <w:t xml:space="preserve">? </w:t>
      </w:r>
    </w:p>
    <w:p w:rsidR="00102889" w:rsidRPr="00804C22" w:rsidRDefault="00102889" w:rsidP="001028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u w:val="single"/>
          <w:lang w:bidi="ar-SA"/>
        </w:rPr>
      </w:pPr>
      <w:r w:rsidRPr="00804C22">
        <w:rPr>
          <w:rFonts w:asciiTheme="minorHAnsi" w:hAnsiTheme="minorHAnsi" w:cstheme="minorHAnsi"/>
          <w:b/>
          <w:i/>
          <w:color w:val="auto"/>
          <w:u w:val="single"/>
          <w:lang w:bidi="ar-SA"/>
        </w:rPr>
        <w:t>Odpowiedź:</w:t>
      </w:r>
    </w:p>
    <w:p w:rsidR="00C80B1A" w:rsidRPr="00B63D1E" w:rsidRDefault="00B171E0" w:rsidP="00B63D1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04C22">
        <w:rPr>
          <w:rFonts w:asciiTheme="minorHAnsi" w:hAnsiTheme="minorHAnsi" w:cstheme="minorHAnsi"/>
          <w:i/>
          <w:color w:val="auto"/>
          <w:lang w:bidi="ar-SA"/>
        </w:rPr>
        <w:t xml:space="preserve">Zadaniem jest  </w:t>
      </w:r>
      <w:r w:rsidR="00804C22" w:rsidRPr="00804C22">
        <w:rPr>
          <w:rFonts w:asciiTheme="minorHAnsi" w:hAnsiTheme="minorHAnsi" w:cstheme="minorHAnsi"/>
          <w:i/>
          <w:color w:val="auto"/>
          <w:lang w:bidi="ar-SA"/>
        </w:rPr>
        <w:t>m</w:t>
      </w:r>
      <w:r w:rsidRPr="00804C22">
        <w:rPr>
          <w:rFonts w:asciiTheme="minorHAnsi" w:hAnsiTheme="minorHAnsi" w:cstheme="minorHAnsi"/>
          <w:i/>
        </w:rPr>
        <w:t xml:space="preserve">odernizacja i rozbudowa oświetlenia publicznego na terenie gminy Parzęczew m.in. poprzez </w:t>
      </w:r>
      <w:r w:rsidR="00804C22" w:rsidRPr="00804C22">
        <w:rPr>
          <w:rFonts w:asciiTheme="minorHAnsi" w:hAnsiTheme="minorHAnsi" w:cstheme="minorHAnsi"/>
          <w:i/>
        </w:rPr>
        <w:t>zastosowanie układów redukcji mocy opisanych w SIWZ i PFU. Natomiast przedmiotowe zadanie nie uwzględnia wymiany istniejących opraw.</w:t>
      </w:r>
    </w:p>
    <w:p w:rsidR="00C80B1A" w:rsidRPr="00804C22" w:rsidRDefault="00C80B1A" w:rsidP="00A45889">
      <w:pPr>
        <w:ind w:firstLine="709"/>
        <w:rPr>
          <w:rFonts w:asciiTheme="minorHAnsi" w:hAnsiTheme="minorHAnsi" w:cstheme="minorHAnsi"/>
          <w:i/>
          <w:color w:val="000000" w:themeColor="text1"/>
        </w:rPr>
      </w:pPr>
    </w:p>
    <w:bookmarkEnd w:id="0"/>
    <w:p w:rsidR="00804C22" w:rsidRPr="00804C22" w:rsidRDefault="00804C22" w:rsidP="00804C22">
      <w:pPr>
        <w:ind w:firstLine="709"/>
        <w:jc w:val="both"/>
        <w:rPr>
          <w:rFonts w:asciiTheme="minorHAnsi" w:hAnsiTheme="minorHAnsi" w:cstheme="minorHAnsi"/>
        </w:rPr>
      </w:pPr>
      <w:r w:rsidRPr="00804C22">
        <w:rPr>
          <w:rFonts w:asciiTheme="minorHAnsi" w:hAnsiTheme="minorHAnsi" w:cstheme="minorHAnsi"/>
        </w:rPr>
        <w:t>Jednocześnie informuję, że dotychczasowy termin składania ofert tj. 16 marca 2018 r. godz. 10.00 ulega zmianie.</w:t>
      </w:r>
    </w:p>
    <w:p w:rsidR="00804C22" w:rsidRPr="00804C22" w:rsidRDefault="00804C22" w:rsidP="00804C22">
      <w:pPr>
        <w:jc w:val="both"/>
        <w:rPr>
          <w:rFonts w:asciiTheme="minorHAnsi" w:hAnsiTheme="minorHAnsi" w:cstheme="minorHAnsi"/>
          <w:b/>
        </w:rPr>
      </w:pPr>
      <w:r w:rsidRPr="00804C22">
        <w:rPr>
          <w:rFonts w:asciiTheme="minorHAnsi" w:hAnsiTheme="minorHAnsi" w:cstheme="minorHAnsi"/>
        </w:rPr>
        <w:tab/>
      </w:r>
      <w:r w:rsidRPr="00804C22">
        <w:rPr>
          <w:rFonts w:asciiTheme="minorHAnsi" w:hAnsiTheme="minorHAnsi" w:cstheme="minorHAnsi"/>
          <w:b/>
        </w:rPr>
        <w:t>Nowy termin składania ofert</w:t>
      </w:r>
      <w:r w:rsidR="00B63D1E">
        <w:rPr>
          <w:rFonts w:asciiTheme="minorHAnsi" w:hAnsiTheme="minorHAnsi" w:cstheme="minorHAnsi"/>
          <w:b/>
        </w:rPr>
        <w:t xml:space="preserve"> to</w:t>
      </w:r>
      <w:r w:rsidRPr="00804C22">
        <w:rPr>
          <w:rFonts w:asciiTheme="minorHAnsi" w:hAnsiTheme="minorHAnsi" w:cstheme="minorHAnsi"/>
          <w:b/>
        </w:rPr>
        <w:t xml:space="preserve"> 20 marca 2018 r. godz. 10:00, termin otwarcia ofert 20 marca 2018 r. godz. 10:30.</w:t>
      </w:r>
    </w:p>
    <w:p w:rsidR="00C80B1A" w:rsidRPr="00804C22" w:rsidRDefault="00C80B1A" w:rsidP="00C80B1A">
      <w:pPr>
        <w:jc w:val="both"/>
        <w:rPr>
          <w:rFonts w:asciiTheme="minorHAnsi" w:hAnsiTheme="minorHAnsi" w:cstheme="minorHAnsi"/>
          <w:b/>
          <w:bCs/>
        </w:rPr>
      </w:pPr>
    </w:p>
    <w:p w:rsidR="00BA4682" w:rsidRPr="00804C22" w:rsidRDefault="00BA4682" w:rsidP="00C80B1A">
      <w:pPr>
        <w:jc w:val="both"/>
        <w:rPr>
          <w:rFonts w:asciiTheme="minorHAnsi" w:hAnsiTheme="minorHAnsi" w:cstheme="minorHAnsi"/>
        </w:rPr>
      </w:pPr>
    </w:p>
    <w:sectPr w:rsidR="00BA4682" w:rsidRPr="00804C22" w:rsidSect="00793049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0F" w:rsidRDefault="00A0430F">
      <w:pPr>
        <w:rPr>
          <w:rFonts w:hint="eastAsia"/>
        </w:rPr>
      </w:pPr>
      <w:r>
        <w:separator/>
      </w:r>
    </w:p>
  </w:endnote>
  <w:endnote w:type="continuationSeparator" w:id="0">
    <w:p w:rsidR="00A0430F" w:rsidRDefault="00A043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 Condens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2B5BF9">
    <w:pPr>
      <w:pStyle w:val="Stopka"/>
      <w:jc w:val="both"/>
      <w:rPr>
        <w:rFonts w:hint="eastAsia"/>
      </w:rPr>
    </w:pPr>
    <w:r>
      <w:rPr>
        <w:rFonts w:ascii="Calibri" w:hAnsi="Calibri" w:cs="Calibri"/>
        <w:color w:val="0000FF"/>
        <w:sz w:val="20"/>
        <w:szCs w:val="20"/>
      </w:rPr>
      <w:t>Znak sprawy R-g.271.3.2018</w:t>
    </w:r>
    <w:r w:rsidR="00F31FC3">
      <w:rPr>
        <w:rFonts w:ascii="Calibri" w:hAnsi="Calibri" w:cs="Calibri"/>
        <w:color w:val="0000FF"/>
        <w:sz w:val="20"/>
        <w:szCs w:val="20"/>
      </w:rPr>
      <w:tab/>
    </w:r>
    <w:r w:rsidR="00F31FC3"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PAGE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DC42CA">
      <w:rPr>
        <w:rFonts w:asciiTheme="minorHAnsi" w:hAnsiTheme="minorHAnsi" w:cstheme="minorHAnsi"/>
        <w:noProof/>
        <w:sz w:val="18"/>
        <w:szCs w:val="18"/>
      </w:rPr>
      <w:t>1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NUMPAGES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DC42CA">
      <w:rPr>
        <w:rFonts w:asciiTheme="minorHAnsi" w:hAnsiTheme="minorHAnsi" w:cstheme="minorHAnsi"/>
        <w:noProof/>
        <w:sz w:val="18"/>
        <w:szCs w:val="18"/>
      </w:rPr>
      <w:t>1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0F" w:rsidRDefault="00A0430F">
      <w:pPr>
        <w:rPr>
          <w:rFonts w:hint="eastAsia"/>
        </w:rPr>
      </w:pPr>
      <w:r>
        <w:separator/>
      </w:r>
    </w:p>
  </w:footnote>
  <w:footnote w:type="continuationSeparator" w:id="0">
    <w:p w:rsidR="00A0430F" w:rsidRDefault="00A043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F9" w:rsidRDefault="002B5BF9" w:rsidP="002B5BF9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Calibri" w:hAnsi="Calibri" w:cs="Calibri"/>
        <w:color w:val="000080"/>
        <w:sz w:val="18"/>
        <w:szCs w:val="18"/>
      </w:rPr>
    </w:pPr>
    <w:r>
      <w:rPr>
        <w:rFonts w:ascii="Calibri" w:hAnsi="Calibri" w:cs="Calibri"/>
        <w:color w:val="000080"/>
        <w:sz w:val="18"/>
        <w:szCs w:val="18"/>
      </w:rPr>
      <w:t>Zamówienie dofinansowane z Europejskiego Funduszu Rozwoju Regionalnego w ramach Regionalnego Programu Operacyjnego Województwa Łódzkiego na lata 2014 – 2020, Oś priorytetowa IV – Gospodarka niskoemisyjna, Działanie IV.3 Ochrona powietrza, Poddziałanie IV.3.1 Ochrona powietrza – ZIT</w:t>
    </w:r>
  </w:p>
  <w:p w:rsidR="002B5BF9" w:rsidRDefault="002B5BF9" w:rsidP="002B5BF9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1914CF7"/>
    <w:multiLevelType w:val="hybridMultilevel"/>
    <w:tmpl w:val="81D8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47511"/>
    <w:multiLevelType w:val="hybridMultilevel"/>
    <w:tmpl w:val="A17C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02976"/>
    <w:rsid w:val="00026702"/>
    <w:rsid w:val="000568A5"/>
    <w:rsid w:val="000676C9"/>
    <w:rsid w:val="00070FE8"/>
    <w:rsid w:val="000A4628"/>
    <w:rsid w:val="000E4BA9"/>
    <w:rsid w:val="00102889"/>
    <w:rsid w:val="002275F5"/>
    <w:rsid w:val="00250C93"/>
    <w:rsid w:val="002B5BF9"/>
    <w:rsid w:val="002F0A38"/>
    <w:rsid w:val="00324405"/>
    <w:rsid w:val="0035464E"/>
    <w:rsid w:val="00365C2D"/>
    <w:rsid w:val="00401C4F"/>
    <w:rsid w:val="00447F19"/>
    <w:rsid w:val="00453805"/>
    <w:rsid w:val="00460E11"/>
    <w:rsid w:val="00480183"/>
    <w:rsid w:val="004B56F6"/>
    <w:rsid w:val="004B6FA8"/>
    <w:rsid w:val="0056099B"/>
    <w:rsid w:val="005D6552"/>
    <w:rsid w:val="006908AF"/>
    <w:rsid w:val="006E2240"/>
    <w:rsid w:val="007048A6"/>
    <w:rsid w:val="00763BC0"/>
    <w:rsid w:val="00764B78"/>
    <w:rsid w:val="00771642"/>
    <w:rsid w:val="00793049"/>
    <w:rsid w:val="007A2ECF"/>
    <w:rsid w:val="00804C22"/>
    <w:rsid w:val="00882A99"/>
    <w:rsid w:val="008B5590"/>
    <w:rsid w:val="008C2FE9"/>
    <w:rsid w:val="00911E8F"/>
    <w:rsid w:val="009C35B6"/>
    <w:rsid w:val="00A0430F"/>
    <w:rsid w:val="00A45889"/>
    <w:rsid w:val="00A55A80"/>
    <w:rsid w:val="00A83326"/>
    <w:rsid w:val="00B171E0"/>
    <w:rsid w:val="00B32391"/>
    <w:rsid w:val="00B42BF2"/>
    <w:rsid w:val="00B63D1E"/>
    <w:rsid w:val="00BA4682"/>
    <w:rsid w:val="00C23649"/>
    <w:rsid w:val="00C4693B"/>
    <w:rsid w:val="00C63F17"/>
    <w:rsid w:val="00C65043"/>
    <w:rsid w:val="00C80B1A"/>
    <w:rsid w:val="00C919FA"/>
    <w:rsid w:val="00C922E3"/>
    <w:rsid w:val="00D32555"/>
    <w:rsid w:val="00D3740A"/>
    <w:rsid w:val="00DC42CA"/>
    <w:rsid w:val="00DD564C"/>
    <w:rsid w:val="00DE5393"/>
    <w:rsid w:val="00E80206"/>
    <w:rsid w:val="00F22CE1"/>
    <w:rsid w:val="00F31FC3"/>
    <w:rsid w:val="00F410CE"/>
    <w:rsid w:val="00F749D4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E430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2B5BF9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5074-BBF5-4CC8-860C-FD8654D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7</cp:revision>
  <cp:lastPrinted>2018-03-12T13:09:00Z</cp:lastPrinted>
  <dcterms:created xsi:type="dcterms:W3CDTF">2018-02-07T12:11:00Z</dcterms:created>
  <dcterms:modified xsi:type="dcterms:W3CDTF">2018-03-12T13:26:00Z</dcterms:modified>
  <dc:language>pl-PL</dc:language>
</cp:coreProperties>
</file>